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D6" w:rsidRPr="00437561" w:rsidRDefault="009607D6" w:rsidP="009607D6">
      <w:pPr>
        <w:rPr>
          <w:rFonts w:ascii="楷体_GB2312" w:eastAsia="楷体_GB2312"/>
          <w:b/>
          <w:sz w:val="28"/>
          <w:szCs w:val="28"/>
        </w:rPr>
      </w:pPr>
      <w:r w:rsidRPr="001D298A">
        <w:rPr>
          <w:rFonts w:ascii="楷体_GB2312" w:eastAsia="楷体_GB2312" w:hint="eastAsia"/>
          <w:b/>
          <w:sz w:val="28"/>
          <w:szCs w:val="28"/>
        </w:rPr>
        <w:t>附件</w:t>
      </w:r>
      <w:r>
        <w:rPr>
          <w:rFonts w:ascii="楷体_GB2312" w:eastAsia="楷体_GB2312" w:hint="eastAsia"/>
          <w:b/>
          <w:sz w:val="28"/>
          <w:szCs w:val="28"/>
        </w:rPr>
        <w:t>2</w:t>
      </w:r>
    </w:p>
    <w:p w:rsidR="009607D6" w:rsidRPr="00463FEB" w:rsidRDefault="009607D6" w:rsidP="009607D6">
      <w:pPr>
        <w:spacing w:line="460" w:lineRule="exact"/>
        <w:jc w:val="center"/>
        <w:rPr>
          <w:rFonts w:eastAsia="楷体_GB2312"/>
          <w:b/>
          <w:snapToGrid w:val="0"/>
          <w:kern w:val="24"/>
          <w:sz w:val="28"/>
          <w:szCs w:val="28"/>
        </w:rPr>
      </w:pPr>
      <w:r w:rsidRPr="00463FEB">
        <w:rPr>
          <w:rFonts w:eastAsia="楷体_GB2312"/>
          <w:b/>
          <w:snapToGrid w:val="0"/>
          <w:kern w:val="24"/>
          <w:sz w:val="28"/>
          <w:szCs w:val="28"/>
        </w:rPr>
        <w:t>《东华大学研究生学籍管理规定》相关条款</w:t>
      </w:r>
    </w:p>
    <w:p w:rsidR="009607D6" w:rsidRPr="00437561" w:rsidRDefault="009607D6" w:rsidP="009607D6">
      <w:pPr>
        <w:spacing w:line="460" w:lineRule="exact"/>
        <w:ind w:firstLineChars="200" w:firstLine="422"/>
        <w:jc w:val="center"/>
        <w:rPr>
          <w:rFonts w:ascii="楷体" w:eastAsia="楷体" w:hAnsi="楷体"/>
          <w:b/>
          <w:snapToGrid w:val="0"/>
          <w:kern w:val="24"/>
          <w:szCs w:val="21"/>
        </w:rPr>
      </w:pPr>
      <w:r w:rsidRPr="00437561">
        <w:rPr>
          <w:rFonts w:ascii="楷体" w:eastAsia="楷体" w:hAnsi="楷体"/>
          <w:b/>
          <w:snapToGrid w:val="0"/>
          <w:kern w:val="24"/>
          <w:szCs w:val="21"/>
        </w:rPr>
        <w:t>第三章</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第十一条</w:t>
      </w:r>
      <w:r w:rsidRPr="00437561">
        <w:rPr>
          <w:rFonts w:ascii="楷体" w:eastAsia="楷体" w:hAnsi="楷体"/>
          <w:snapToGrid w:val="0"/>
          <w:kern w:val="24"/>
          <w:szCs w:val="21"/>
        </w:rPr>
        <w:t xml:space="preserve"> 每学期开学时，研究生应当按学校规定办理注册手续。研究生有义务缴纳学费，家庭经济困难的研究生可以申请助学贷款或者其他形式资助，在办理相关手续后可以注册。不能如期缴纳学费的，应当填写《东华大学研究生暂缓注册申请单》履行暂缓注册手续，经批准后生效。未按学校规定缴纳学费或其他不符合注册条件的，不予注册。</w:t>
      </w:r>
    </w:p>
    <w:p w:rsidR="009607D6" w:rsidRPr="00437561" w:rsidRDefault="009607D6" w:rsidP="009607D6">
      <w:pPr>
        <w:spacing w:line="460" w:lineRule="exact"/>
        <w:ind w:firstLineChars="200" w:firstLine="420"/>
        <w:rPr>
          <w:rFonts w:ascii="楷体" w:eastAsia="楷体" w:hAnsi="楷体"/>
          <w:snapToGrid w:val="0"/>
          <w:kern w:val="24"/>
          <w:szCs w:val="21"/>
        </w:rPr>
      </w:pPr>
      <w:r w:rsidRPr="00437561">
        <w:rPr>
          <w:rFonts w:ascii="楷体" w:eastAsia="楷体" w:hAnsi="楷体"/>
          <w:snapToGrid w:val="0"/>
          <w:kern w:val="24"/>
          <w:szCs w:val="21"/>
        </w:rPr>
        <w:t>暂缓注册的研究生可以修读该学期相关课程，并在缴纳学费后正式注册</w:t>
      </w:r>
      <w:r w:rsidRPr="00437561">
        <w:rPr>
          <w:rFonts w:ascii="楷体" w:eastAsia="楷体" w:hAnsi="楷体" w:hint="eastAsia"/>
          <w:snapToGrid w:val="0"/>
          <w:kern w:val="24"/>
          <w:szCs w:val="21"/>
        </w:rPr>
        <w:t>，</w:t>
      </w:r>
      <w:r w:rsidRPr="00437561">
        <w:rPr>
          <w:rFonts w:ascii="楷体" w:eastAsia="楷体" w:hAnsi="楷体"/>
          <w:snapToGrid w:val="0"/>
          <w:kern w:val="24"/>
          <w:szCs w:val="21"/>
        </w:rPr>
        <w:t>其所修</w:t>
      </w:r>
      <w:r w:rsidRPr="00437561">
        <w:rPr>
          <w:rFonts w:ascii="楷体" w:eastAsia="楷体" w:hAnsi="楷体" w:hint="eastAsia"/>
          <w:snapToGrid w:val="0"/>
          <w:kern w:val="24"/>
          <w:szCs w:val="21"/>
        </w:rPr>
        <w:t>教育</w:t>
      </w:r>
      <w:r w:rsidRPr="00437561">
        <w:rPr>
          <w:rFonts w:ascii="楷体" w:eastAsia="楷体" w:hAnsi="楷体"/>
          <w:snapToGrid w:val="0"/>
          <w:kern w:val="24"/>
          <w:szCs w:val="21"/>
        </w:rPr>
        <w:t>教学环节成绩在正式注册后有效。暂缓注册最长不超过4个月，逾期未注册</w:t>
      </w:r>
      <w:r w:rsidRPr="00437561">
        <w:rPr>
          <w:rFonts w:ascii="楷体" w:eastAsia="楷体" w:hAnsi="楷体" w:hint="eastAsia"/>
          <w:snapToGrid w:val="0"/>
          <w:kern w:val="24"/>
          <w:szCs w:val="21"/>
        </w:rPr>
        <w:t>可</w:t>
      </w:r>
      <w:r w:rsidRPr="00437561">
        <w:rPr>
          <w:rFonts w:ascii="楷体" w:eastAsia="楷体" w:hAnsi="楷体"/>
          <w:snapToGrid w:val="0"/>
          <w:kern w:val="24"/>
          <w:szCs w:val="21"/>
        </w:rPr>
        <w:t>作退学处理。</w:t>
      </w:r>
    </w:p>
    <w:p w:rsidR="009607D6" w:rsidRPr="00437561" w:rsidRDefault="009607D6" w:rsidP="009607D6">
      <w:pPr>
        <w:spacing w:line="460" w:lineRule="exact"/>
        <w:jc w:val="center"/>
        <w:rPr>
          <w:rFonts w:ascii="楷体" w:eastAsia="楷体" w:hAnsi="楷体"/>
          <w:b/>
          <w:snapToGrid w:val="0"/>
          <w:kern w:val="24"/>
          <w:szCs w:val="21"/>
        </w:rPr>
      </w:pPr>
      <w:r w:rsidRPr="00437561">
        <w:rPr>
          <w:rFonts w:ascii="楷体" w:eastAsia="楷体" w:hAnsi="楷体"/>
          <w:b/>
          <w:snapToGrid w:val="0"/>
          <w:kern w:val="24"/>
          <w:szCs w:val="21"/>
        </w:rPr>
        <w:t>第四章</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第十二条</w:t>
      </w:r>
      <w:r w:rsidRPr="00437561">
        <w:rPr>
          <w:rFonts w:ascii="楷体" w:eastAsia="楷体" w:hAnsi="楷体"/>
          <w:snapToGrid w:val="0"/>
          <w:kern w:val="24"/>
          <w:szCs w:val="21"/>
        </w:rPr>
        <w:t xml:space="preserve"> 学生应当按时注册、参加教育教学计划规定的活动。不能按时注册或参加教育教学活动的，应当事先请假并获得批准。请假期满应当办理销假手续，未办理销假的，超假时间作未请假处理。</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第十三条</w:t>
      </w:r>
      <w:r w:rsidRPr="00437561">
        <w:rPr>
          <w:rFonts w:ascii="楷体" w:eastAsia="楷体" w:hAnsi="楷体"/>
          <w:snapToGrid w:val="0"/>
          <w:kern w:val="24"/>
          <w:szCs w:val="21"/>
        </w:rPr>
        <w:t xml:space="preserve"> 研究生因病请假须出示校医院或二级甲等以上医院开具的病假单。</w:t>
      </w:r>
    </w:p>
    <w:p w:rsidR="009607D6" w:rsidRPr="00437561" w:rsidRDefault="009607D6" w:rsidP="009607D6">
      <w:pPr>
        <w:spacing w:line="460" w:lineRule="exact"/>
        <w:ind w:firstLineChars="200" w:firstLine="420"/>
        <w:rPr>
          <w:rFonts w:ascii="楷体" w:eastAsia="楷体" w:hAnsi="楷体"/>
          <w:snapToGrid w:val="0"/>
          <w:kern w:val="24"/>
          <w:szCs w:val="21"/>
        </w:rPr>
      </w:pPr>
      <w:r w:rsidRPr="00437561">
        <w:rPr>
          <w:rFonts w:ascii="楷体" w:eastAsia="楷体" w:hAnsi="楷体"/>
          <w:snapToGrid w:val="0"/>
          <w:kern w:val="24"/>
          <w:szCs w:val="21"/>
        </w:rPr>
        <w:t>研究生因事请假，每学期累计不得超过2周。需要请假的研究生应填写《东华大学研究生请假单》，办理请假手续</w:t>
      </w:r>
      <w:r w:rsidRPr="00437561">
        <w:rPr>
          <w:rFonts w:ascii="楷体" w:eastAsia="楷体" w:hAnsi="楷体" w:hint="eastAsia"/>
          <w:snapToGrid w:val="0"/>
          <w:kern w:val="24"/>
          <w:szCs w:val="21"/>
        </w:rPr>
        <w:t>，</w:t>
      </w:r>
      <w:r w:rsidRPr="00437561">
        <w:rPr>
          <w:rFonts w:ascii="楷体" w:eastAsia="楷体" w:hAnsi="楷体"/>
          <w:snapToGrid w:val="0"/>
          <w:kern w:val="24"/>
          <w:szCs w:val="21"/>
        </w:rPr>
        <w:t>经指导教师、企业导师或任课老师（代教老师）签署意见</w:t>
      </w:r>
      <w:r w:rsidRPr="00437561">
        <w:rPr>
          <w:rFonts w:ascii="楷体" w:eastAsia="楷体" w:hAnsi="楷体" w:hint="eastAsia"/>
          <w:snapToGrid w:val="0"/>
          <w:kern w:val="24"/>
          <w:szCs w:val="21"/>
        </w:rPr>
        <w:t>后</w:t>
      </w:r>
      <w:r w:rsidRPr="00437561">
        <w:rPr>
          <w:rFonts w:ascii="楷体" w:eastAsia="楷体" w:hAnsi="楷体"/>
          <w:snapToGrid w:val="0"/>
          <w:kern w:val="24"/>
          <w:szCs w:val="21"/>
        </w:rPr>
        <w:t>，请假1周以内由辅导员批准；请假1周以上2周以内（含2周），经辅导员同意后，由学院分管研究生工作的学院领导批准。请假报告由学院归档。</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第十四条</w:t>
      </w:r>
      <w:r w:rsidRPr="00437561">
        <w:rPr>
          <w:rFonts w:ascii="楷体" w:eastAsia="楷体" w:hAnsi="楷体"/>
          <w:snapToGrid w:val="0"/>
          <w:kern w:val="24"/>
          <w:szCs w:val="21"/>
        </w:rPr>
        <w:t xml:space="preserve"> 研究生违反请假制度缺课，作旷课处理（学校规定必须参加的思想教育等活动和课堂教学旷课按实际学时计算，工程技术训练、教学实习、实践环节、论文阶段旷课以每天6学时折算）。</w:t>
      </w:r>
    </w:p>
    <w:p w:rsidR="009607D6" w:rsidRPr="00437561" w:rsidRDefault="009607D6" w:rsidP="009607D6">
      <w:pPr>
        <w:spacing w:line="460" w:lineRule="exact"/>
        <w:ind w:firstLineChars="200" w:firstLine="420"/>
        <w:rPr>
          <w:rFonts w:ascii="楷体" w:eastAsia="楷体" w:hAnsi="楷体"/>
          <w:snapToGrid w:val="0"/>
          <w:kern w:val="24"/>
          <w:szCs w:val="21"/>
        </w:rPr>
      </w:pPr>
      <w:r w:rsidRPr="00437561">
        <w:rPr>
          <w:rFonts w:ascii="楷体" w:eastAsia="楷体" w:hAnsi="楷体"/>
          <w:snapToGrid w:val="0"/>
          <w:kern w:val="24"/>
          <w:szCs w:val="21"/>
        </w:rPr>
        <w:t>未准假而无故缺席学校教育教学计划规定的活动的，根据学校有关规定给予批评教育，情节严重的按照学校学生违纪处分的有关规定进行处理。</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第十五条</w:t>
      </w:r>
      <w:r w:rsidRPr="00437561">
        <w:rPr>
          <w:rFonts w:ascii="楷体" w:eastAsia="楷体" w:hAnsi="楷体"/>
          <w:snapToGrid w:val="0"/>
          <w:kern w:val="24"/>
          <w:szCs w:val="21"/>
        </w:rPr>
        <w:t xml:space="preserve"> 研究生课程学习期间的考勤由任课教师负责；论文工作期间的考勤由指导教师、导师组、企业导师或指导教师委托专人负责</w:t>
      </w:r>
      <w:r w:rsidRPr="00437561">
        <w:rPr>
          <w:rFonts w:ascii="楷体" w:eastAsia="楷体" w:hAnsi="楷体" w:hint="eastAsia"/>
          <w:snapToGrid w:val="0"/>
          <w:kern w:val="24"/>
          <w:szCs w:val="21"/>
        </w:rPr>
        <w:t>。</w:t>
      </w:r>
      <w:r w:rsidRPr="00437561">
        <w:rPr>
          <w:rFonts w:ascii="楷体" w:eastAsia="楷体" w:hAnsi="楷体"/>
          <w:snapToGrid w:val="0"/>
          <w:kern w:val="24"/>
          <w:szCs w:val="21"/>
        </w:rPr>
        <w:t>学院应对旷课研究生及时查明原因，加强教育。</w:t>
      </w:r>
    </w:p>
    <w:p w:rsidR="009607D6" w:rsidRPr="00437561" w:rsidRDefault="009607D6" w:rsidP="009607D6">
      <w:pPr>
        <w:spacing w:line="460" w:lineRule="exact"/>
        <w:jc w:val="center"/>
        <w:rPr>
          <w:rFonts w:ascii="楷体" w:eastAsia="楷体" w:hAnsi="楷体"/>
          <w:b/>
          <w:snapToGrid w:val="0"/>
          <w:kern w:val="24"/>
          <w:szCs w:val="21"/>
        </w:rPr>
      </w:pPr>
      <w:r w:rsidRPr="00437561">
        <w:rPr>
          <w:rFonts w:ascii="楷体" w:eastAsia="楷体" w:hAnsi="楷体"/>
          <w:b/>
          <w:snapToGrid w:val="0"/>
          <w:kern w:val="24"/>
          <w:szCs w:val="21"/>
        </w:rPr>
        <w:t>第九章</w:t>
      </w:r>
    </w:p>
    <w:p w:rsidR="009607D6" w:rsidRPr="00437561" w:rsidRDefault="009607D6" w:rsidP="009607D6">
      <w:pPr>
        <w:spacing w:line="460" w:lineRule="exact"/>
        <w:rPr>
          <w:rFonts w:ascii="楷体" w:eastAsia="楷体" w:hAnsi="楷体"/>
          <w:snapToGrid w:val="0"/>
          <w:kern w:val="24"/>
          <w:szCs w:val="21"/>
        </w:rPr>
      </w:pPr>
      <w:r w:rsidRPr="00437561">
        <w:rPr>
          <w:rFonts w:ascii="楷体" w:eastAsia="楷体" w:hAnsi="楷体"/>
          <w:b/>
          <w:snapToGrid w:val="0"/>
          <w:kern w:val="24"/>
          <w:szCs w:val="21"/>
        </w:rPr>
        <w:t>第三十一条</w:t>
      </w:r>
      <w:r w:rsidRPr="00437561">
        <w:rPr>
          <w:rFonts w:ascii="楷体" w:eastAsia="楷体" w:hAnsi="楷体" w:hint="eastAsia"/>
          <w:snapToGrid w:val="0"/>
          <w:kern w:val="24"/>
          <w:szCs w:val="21"/>
        </w:rPr>
        <w:t xml:space="preserve"> </w:t>
      </w:r>
      <w:r w:rsidRPr="00437561">
        <w:rPr>
          <w:rFonts w:ascii="楷体" w:eastAsia="楷体" w:hAnsi="楷体"/>
          <w:snapToGrid w:val="0"/>
          <w:kern w:val="24"/>
          <w:szCs w:val="21"/>
        </w:rPr>
        <w:t>超过2</w:t>
      </w:r>
      <w:proofErr w:type="gramStart"/>
      <w:r w:rsidRPr="00437561">
        <w:rPr>
          <w:rFonts w:ascii="楷体" w:eastAsia="楷体" w:hAnsi="楷体"/>
          <w:snapToGrid w:val="0"/>
          <w:kern w:val="24"/>
          <w:szCs w:val="21"/>
        </w:rPr>
        <w:t>周未</w:t>
      </w:r>
      <w:proofErr w:type="gramEnd"/>
      <w:r w:rsidRPr="00437561">
        <w:rPr>
          <w:rFonts w:ascii="楷体" w:eastAsia="楷体" w:hAnsi="楷体"/>
          <w:snapToGrid w:val="0"/>
          <w:kern w:val="24"/>
          <w:szCs w:val="21"/>
        </w:rPr>
        <w:t>注册而又未履行暂缓注册手续的，且未有不可抗力原因的；学校可</w:t>
      </w:r>
      <w:proofErr w:type="gramStart"/>
      <w:r w:rsidRPr="00437561">
        <w:rPr>
          <w:rFonts w:ascii="楷体" w:eastAsia="楷体" w:hAnsi="楷体"/>
          <w:snapToGrid w:val="0"/>
          <w:kern w:val="24"/>
          <w:szCs w:val="21"/>
        </w:rPr>
        <w:t>予退</w:t>
      </w:r>
      <w:proofErr w:type="gramEnd"/>
      <w:r w:rsidRPr="00437561">
        <w:rPr>
          <w:rFonts w:ascii="楷体" w:eastAsia="楷体" w:hAnsi="楷体"/>
          <w:snapToGrid w:val="0"/>
          <w:kern w:val="24"/>
          <w:szCs w:val="21"/>
        </w:rPr>
        <w:t>学处理。</w:t>
      </w:r>
    </w:p>
    <w:p w:rsidR="009607D6" w:rsidRDefault="009607D6" w:rsidP="009607D6">
      <w:pPr>
        <w:spacing w:line="420" w:lineRule="exact"/>
        <w:jc w:val="left"/>
        <w:rPr>
          <w:rFonts w:ascii="宋体" w:eastAsia="宋体" w:hAnsi="宋体"/>
          <w:szCs w:val="21"/>
        </w:rPr>
      </w:pPr>
    </w:p>
    <w:p w:rsidR="009607D6" w:rsidRDefault="009607D6" w:rsidP="009607D6">
      <w:pPr>
        <w:jc w:val="left"/>
        <w:rPr>
          <w:rFonts w:ascii="微软雅黑" w:eastAsia="微软雅黑" w:hAnsi="微软雅黑"/>
          <w:color w:val="333333"/>
          <w:sz w:val="18"/>
          <w:szCs w:val="18"/>
          <w:shd w:val="clear" w:color="auto" w:fill="FFFFFF"/>
        </w:rPr>
      </w:pPr>
    </w:p>
    <w:sectPr w:rsidR="009607D6" w:rsidSect="000E4C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5D" w:rsidRDefault="002C655D" w:rsidP="00A816F1">
      <w:r>
        <w:separator/>
      </w:r>
    </w:p>
  </w:endnote>
  <w:endnote w:type="continuationSeparator" w:id="0">
    <w:p w:rsidR="002C655D" w:rsidRDefault="002C655D" w:rsidP="00A81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5D" w:rsidRDefault="002C655D" w:rsidP="00A816F1">
      <w:r>
        <w:separator/>
      </w:r>
    </w:p>
  </w:footnote>
  <w:footnote w:type="continuationSeparator" w:id="0">
    <w:p w:rsidR="002C655D" w:rsidRDefault="002C655D" w:rsidP="00A81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96706"/>
    <w:multiLevelType w:val="hybridMultilevel"/>
    <w:tmpl w:val="18BC686E"/>
    <w:lvl w:ilvl="0" w:tplc="83FA6BF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07A"/>
    <w:rsid w:val="00024B8E"/>
    <w:rsid w:val="00055C16"/>
    <w:rsid w:val="0009121B"/>
    <w:rsid w:val="000E4C75"/>
    <w:rsid w:val="001554EF"/>
    <w:rsid w:val="00206929"/>
    <w:rsid w:val="00212171"/>
    <w:rsid w:val="00226F62"/>
    <w:rsid w:val="00243936"/>
    <w:rsid w:val="002604AD"/>
    <w:rsid w:val="00265F67"/>
    <w:rsid w:val="002808CF"/>
    <w:rsid w:val="002836E6"/>
    <w:rsid w:val="002920EE"/>
    <w:rsid w:val="002C655D"/>
    <w:rsid w:val="002E122F"/>
    <w:rsid w:val="00326781"/>
    <w:rsid w:val="00394C5E"/>
    <w:rsid w:val="00395C78"/>
    <w:rsid w:val="003D2DC3"/>
    <w:rsid w:val="003D3744"/>
    <w:rsid w:val="00437036"/>
    <w:rsid w:val="00446994"/>
    <w:rsid w:val="004519EB"/>
    <w:rsid w:val="00481BFE"/>
    <w:rsid w:val="00495DE9"/>
    <w:rsid w:val="004B2CED"/>
    <w:rsid w:val="00506DF0"/>
    <w:rsid w:val="00515932"/>
    <w:rsid w:val="005359B0"/>
    <w:rsid w:val="00584919"/>
    <w:rsid w:val="00592789"/>
    <w:rsid w:val="005E50CA"/>
    <w:rsid w:val="006150D1"/>
    <w:rsid w:val="0063107A"/>
    <w:rsid w:val="00644D37"/>
    <w:rsid w:val="0066183C"/>
    <w:rsid w:val="00670ACD"/>
    <w:rsid w:val="006A0D5C"/>
    <w:rsid w:val="006A590E"/>
    <w:rsid w:val="00752C8B"/>
    <w:rsid w:val="00787259"/>
    <w:rsid w:val="007A2508"/>
    <w:rsid w:val="007F0733"/>
    <w:rsid w:val="008052F7"/>
    <w:rsid w:val="00832296"/>
    <w:rsid w:val="008344CF"/>
    <w:rsid w:val="008733E5"/>
    <w:rsid w:val="00885276"/>
    <w:rsid w:val="008A1479"/>
    <w:rsid w:val="008B0D50"/>
    <w:rsid w:val="009150BC"/>
    <w:rsid w:val="00942970"/>
    <w:rsid w:val="009607D6"/>
    <w:rsid w:val="0096543B"/>
    <w:rsid w:val="00965FBB"/>
    <w:rsid w:val="009D1969"/>
    <w:rsid w:val="00A816F1"/>
    <w:rsid w:val="00B0771A"/>
    <w:rsid w:val="00BB247F"/>
    <w:rsid w:val="00BF75C7"/>
    <w:rsid w:val="00C0001C"/>
    <w:rsid w:val="00C3630C"/>
    <w:rsid w:val="00C41121"/>
    <w:rsid w:val="00C95E53"/>
    <w:rsid w:val="00CF135B"/>
    <w:rsid w:val="00D41B46"/>
    <w:rsid w:val="00D44C0D"/>
    <w:rsid w:val="00D46EF0"/>
    <w:rsid w:val="00D97109"/>
    <w:rsid w:val="00DB78C9"/>
    <w:rsid w:val="00DC74F5"/>
    <w:rsid w:val="00DD4199"/>
    <w:rsid w:val="00DF18E9"/>
    <w:rsid w:val="00E16B94"/>
    <w:rsid w:val="00E17582"/>
    <w:rsid w:val="00E843E0"/>
    <w:rsid w:val="00E95B34"/>
    <w:rsid w:val="00F17EA1"/>
    <w:rsid w:val="00F4631A"/>
    <w:rsid w:val="00F538E6"/>
    <w:rsid w:val="00F9086A"/>
    <w:rsid w:val="00FB0962"/>
    <w:rsid w:val="00FD4678"/>
    <w:rsid w:val="00FF17D4"/>
    <w:rsid w:val="00FF3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970"/>
    <w:pPr>
      <w:ind w:firstLineChars="200" w:firstLine="420"/>
    </w:pPr>
  </w:style>
  <w:style w:type="paragraph" w:styleId="a4">
    <w:name w:val="header"/>
    <w:basedOn w:val="a"/>
    <w:link w:val="Char"/>
    <w:uiPriority w:val="99"/>
    <w:semiHidden/>
    <w:unhideWhenUsed/>
    <w:rsid w:val="00A81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6F1"/>
    <w:rPr>
      <w:sz w:val="18"/>
      <w:szCs w:val="18"/>
    </w:rPr>
  </w:style>
  <w:style w:type="paragraph" w:styleId="a5">
    <w:name w:val="footer"/>
    <w:basedOn w:val="a"/>
    <w:link w:val="Char0"/>
    <w:uiPriority w:val="99"/>
    <w:semiHidden/>
    <w:unhideWhenUsed/>
    <w:rsid w:val="00A816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816F1"/>
    <w:rPr>
      <w:sz w:val="18"/>
      <w:szCs w:val="18"/>
    </w:rPr>
  </w:style>
  <w:style w:type="paragraph" w:styleId="a6">
    <w:name w:val="Balloon Text"/>
    <w:basedOn w:val="a"/>
    <w:link w:val="Char1"/>
    <w:uiPriority w:val="99"/>
    <w:semiHidden/>
    <w:unhideWhenUsed/>
    <w:rsid w:val="00A816F1"/>
    <w:rPr>
      <w:sz w:val="18"/>
      <w:szCs w:val="18"/>
    </w:rPr>
  </w:style>
  <w:style w:type="character" w:customStyle="1" w:styleId="Char1">
    <w:name w:val="批注框文本 Char"/>
    <w:basedOn w:val="a0"/>
    <w:link w:val="a6"/>
    <w:uiPriority w:val="99"/>
    <w:semiHidden/>
    <w:rsid w:val="00A816F1"/>
    <w:rPr>
      <w:sz w:val="18"/>
      <w:szCs w:val="18"/>
    </w:rPr>
  </w:style>
  <w:style w:type="character" w:styleId="a7">
    <w:name w:val="Hyperlink"/>
    <w:basedOn w:val="a0"/>
    <w:uiPriority w:val="99"/>
    <w:unhideWhenUsed/>
    <w:rsid w:val="00265F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447297">
      <w:bodyDiv w:val="1"/>
      <w:marLeft w:val="0"/>
      <w:marRight w:val="0"/>
      <w:marTop w:val="0"/>
      <w:marBottom w:val="0"/>
      <w:divBdr>
        <w:top w:val="none" w:sz="0" w:space="0" w:color="auto"/>
        <w:left w:val="none" w:sz="0" w:space="0" w:color="auto"/>
        <w:bottom w:val="none" w:sz="0" w:space="0" w:color="auto"/>
        <w:right w:val="none" w:sz="0" w:space="0" w:color="auto"/>
      </w:divBdr>
      <w:divsChild>
        <w:div w:id="862088864">
          <w:marLeft w:val="0"/>
          <w:marRight w:val="0"/>
          <w:marTop w:val="0"/>
          <w:marBottom w:val="0"/>
          <w:divBdr>
            <w:top w:val="none" w:sz="0" w:space="0" w:color="auto"/>
            <w:left w:val="none" w:sz="0" w:space="0" w:color="auto"/>
            <w:bottom w:val="none" w:sz="0" w:space="0" w:color="auto"/>
            <w:right w:val="none" w:sz="0" w:space="0" w:color="auto"/>
          </w:divBdr>
        </w:div>
      </w:divsChild>
    </w:div>
    <w:div w:id="663246447">
      <w:bodyDiv w:val="1"/>
      <w:marLeft w:val="0"/>
      <w:marRight w:val="0"/>
      <w:marTop w:val="0"/>
      <w:marBottom w:val="0"/>
      <w:divBdr>
        <w:top w:val="none" w:sz="0" w:space="0" w:color="auto"/>
        <w:left w:val="none" w:sz="0" w:space="0" w:color="auto"/>
        <w:bottom w:val="none" w:sz="0" w:space="0" w:color="auto"/>
        <w:right w:val="none" w:sz="0" w:space="0" w:color="auto"/>
      </w:divBdr>
    </w:div>
    <w:div w:id="883060685">
      <w:bodyDiv w:val="1"/>
      <w:marLeft w:val="0"/>
      <w:marRight w:val="0"/>
      <w:marTop w:val="0"/>
      <w:marBottom w:val="0"/>
      <w:divBdr>
        <w:top w:val="none" w:sz="0" w:space="0" w:color="auto"/>
        <w:left w:val="none" w:sz="0" w:space="0" w:color="auto"/>
        <w:bottom w:val="none" w:sz="0" w:space="0" w:color="auto"/>
        <w:right w:val="none" w:sz="0" w:space="0" w:color="auto"/>
      </w:divBdr>
      <w:divsChild>
        <w:div w:id="932471399">
          <w:marLeft w:val="0"/>
          <w:marRight w:val="0"/>
          <w:marTop w:val="0"/>
          <w:marBottom w:val="0"/>
          <w:divBdr>
            <w:top w:val="none" w:sz="0" w:space="0" w:color="auto"/>
            <w:left w:val="none" w:sz="0" w:space="0" w:color="auto"/>
            <w:bottom w:val="none" w:sz="0" w:space="0" w:color="auto"/>
            <w:right w:val="none" w:sz="0" w:space="0" w:color="auto"/>
          </w:divBdr>
        </w:div>
      </w:divsChild>
    </w:div>
    <w:div w:id="1103570820">
      <w:bodyDiv w:val="1"/>
      <w:marLeft w:val="0"/>
      <w:marRight w:val="0"/>
      <w:marTop w:val="0"/>
      <w:marBottom w:val="0"/>
      <w:divBdr>
        <w:top w:val="none" w:sz="0" w:space="0" w:color="auto"/>
        <w:left w:val="none" w:sz="0" w:space="0" w:color="auto"/>
        <w:bottom w:val="none" w:sz="0" w:space="0" w:color="auto"/>
        <w:right w:val="none" w:sz="0" w:space="0" w:color="auto"/>
      </w:divBdr>
      <w:divsChild>
        <w:div w:id="2020691641">
          <w:marLeft w:val="0"/>
          <w:marRight w:val="0"/>
          <w:marTop w:val="0"/>
          <w:marBottom w:val="0"/>
          <w:divBdr>
            <w:top w:val="none" w:sz="0" w:space="0" w:color="auto"/>
            <w:left w:val="none" w:sz="0" w:space="0" w:color="auto"/>
            <w:bottom w:val="none" w:sz="0" w:space="0" w:color="auto"/>
            <w:right w:val="none" w:sz="0" w:space="0" w:color="auto"/>
          </w:divBdr>
        </w:div>
      </w:divsChild>
    </w:div>
    <w:div w:id="1438453128">
      <w:bodyDiv w:val="1"/>
      <w:marLeft w:val="0"/>
      <w:marRight w:val="0"/>
      <w:marTop w:val="0"/>
      <w:marBottom w:val="0"/>
      <w:divBdr>
        <w:top w:val="none" w:sz="0" w:space="0" w:color="auto"/>
        <w:left w:val="none" w:sz="0" w:space="0" w:color="auto"/>
        <w:bottom w:val="none" w:sz="0" w:space="0" w:color="auto"/>
        <w:right w:val="none" w:sz="0" w:space="0" w:color="auto"/>
      </w:divBdr>
      <w:divsChild>
        <w:div w:id="87629184">
          <w:marLeft w:val="0"/>
          <w:marRight w:val="0"/>
          <w:marTop w:val="0"/>
          <w:marBottom w:val="0"/>
          <w:divBdr>
            <w:top w:val="none" w:sz="0" w:space="0" w:color="auto"/>
            <w:left w:val="none" w:sz="0" w:space="0" w:color="auto"/>
            <w:bottom w:val="none" w:sz="0" w:space="0" w:color="auto"/>
            <w:right w:val="none" w:sz="0" w:space="0" w:color="auto"/>
          </w:divBdr>
          <w:divsChild>
            <w:div w:id="87163621">
              <w:marLeft w:val="0"/>
              <w:marRight w:val="0"/>
              <w:marTop w:val="0"/>
              <w:marBottom w:val="0"/>
              <w:divBdr>
                <w:top w:val="none" w:sz="0" w:space="0" w:color="auto"/>
                <w:left w:val="none" w:sz="0" w:space="0" w:color="auto"/>
                <w:bottom w:val="none" w:sz="0" w:space="0" w:color="auto"/>
                <w:right w:val="none" w:sz="0" w:space="0" w:color="auto"/>
              </w:divBdr>
              <w:divsChild>
                <w:div w:id="1041368311">
                  <w:marLeft w:val="0"/>
                  <w:marRight w:val="0"/>
                  <w:marTop w:val="0"/>
                  <w:marBottom w:val="0"/>
                  <w:divBdr>
                    <w:top w:val="none" w:sz="0" w:space="0" w:color="auto"/>
                    <w:left w:val="none" w:sz="0" w:space="0" w:color="auto"/>
                    <w:bottom w:val="none" w:sz="0" w:space="0" w:color="auto"/>
                    <w:right w:val="none" w:sz="0" w:space="0" w:color="auto"/>
                  </w:divBdr>
                  <w:divsChild>
                    <w:div w:id="1129476452">
                      <w:marLeft w:val="0"/>
                      <w:marRight w:val="0"/>
                      <w:marTop w:val="376"/>
                      <w:marBottom w:val="0"/>
                      <w:divBdr>
                        <w:top w:val="single" w:sz="4" w:space="0" w:color="CCCCCC"/>
                        <w:left w:val="single" w:sz="4" w:space="0" w:color="CCCCCC"/>
                        <w:bottom w:val="single" w:sz="4" w:space="0" w:color="CCCCCC"/>
                        <w:right w:val="single" w:sz="4" w:space="0" w:color="CCCCCC"/>
                      </w:divBdr>
                      <w:divsChild>
                        <w:div w:id="973868138">
                          <w:marLeft w:val="0"/>
                          <w:marRight w:val="0"/>
                          <w:marTop w:val="0"/>
                          <w:marBottom w:val="0"/>
                          <w:divBdr>
                            <w:top w:val="none" w:sz="0" w:space="0" w:color="auto"/>
                            <w:left w:val="none" w:sz="0" w:space="0" w:color="auto"/>
                            <w:bottom w:val="none" w:sz="0" w:space="0" w:color="auto"/>
                            <w:right w:val="none" w:sz="0" w:space="0" w:color="auto"/>
                          </w:divBdr>
                          <w:divsChild>
                            <w:div w:id="388236136">
                              <w:marLeft w:val="250"/>
                              <w:marRight w:val="250"/>
                              <w:marTop w:val="250"/>
                              <w:marBottom w:val="0"/>
                              <w:divBdr>
                                <w:top w:val="none" w:sz="0" w:space="0" w:color="auto"/>
                                <w:left w:val="none" w:sz="0" w:space="0" w:color="auto"/>
                                <w:bottom w:val="none" w:sz="0" w:space="0" w:color="auto"/>
                                <w:right w:val="none" w:sz="0" w:space="0" w:color="auto"/>
                              </w:divBdr>
                              <w:divsChild>
                                <w:div w:id="5394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76561">
      <w:bodyDiv w:val="1"/>
      <w:marLeft w:val="0"/>
      <w:marRight w:val="0"/>
      <w:marTop w:val="0"/>
      <w:marBottom w:val="0"/>
      <w:divBdr>
        <w:top w:val="none" w:sz="0" w:space="0" w:color="auto"/>
        <w:left w:val="none" w:sz="0" w:space="0" w:color="auto"/>
        <w:bottom w:val="none" w:sz="0" w:space="0" w:color="auto"/>
        <w:right w:val="none" w:sz="0" w:space="0" w:color="auto"/>
      </w:divBdr>
    </w:div>
    <w:div w:id="1987204533">
      <w:bodyDiv w:val="1"/>
      <w:marLeft w:val="0"/>
      <w:marRight w:val="0"/>
      <w:marTop w:val="0"/>
      <w:marBottom w:val="0"/>
      <w:divBdr>
        <w:top w:val="none" w:sz="0" w:space="0" w:color="auto"/>
        <w:left w:val="none" w:sz="0" w:space="0" w:color="auto"/>
        <w:bottom w:val="none" w:sz="0" w:space="0" w:color="auto"/>
        <w:right w:val="none" w:sz="0" w:space="0" w:color="auto"/>
      </w:divBdr>
      <w:divsChild>
        <w:div w:id="1384214452">
          <w:marLeft w:val="0"/>
          <w:marRight w:val="0"/>
          <w:marTop w:val="0"/>
          <w:marBottom w:val="0"/>
          <w:divBdr>
            <w:top w:val="none" w:sz="0" w:space="0" w:color="auto"/>
            <w:left w:val="none" w:sz="0" w:space="0" w:color="auto"/>
            <w:bottom w:val="none" w:sz="0" w:space="0" w:color="auto"/>
            <w:right w:val="none" w:sz="0" w:space="0" w:color="auto"/>
          </w:divBdr>
          <w:divsChild>
            <w:div w:id="2024553285">
              <w:marLeft w:val="0"/>
              <w:marRight w:val="0"/>
              <w:marTop w:val="0"/>
              <w:marBottom w:val="0"/>
              <w:divBdr>
                <w:top w:val="none" w:sz="0" w:space="0" w:color="auto"/>
                <w:left w:val="none" w:sz="0" w:space="0" w:color="auto"/>
                <w:bottom w:val="none" w:sz="0" w:space="0" w:color="auto"/>
                <w:right w:val="none" w:sz="0" w:space="0" w:color="auto"/>
              </w:divBdr>
              <w:divsChild>
                <w:div w:id="1417478240">
                  <w:marLeft w:val="0"/>
                  <w:marRight w:val="0"/>
                  <w:marTop w:val="0"/>
                  <w:marBottom w:val="0"/>
                  <w:divBdr>
                    <w:top w:val="none" w:sz="0" w:space="0" w:color="auto"/>
                    <w:left w:val="none" w:sz="0" w:space="0" w:color="auto"/>
                    <w:bottom w:val="none" w:sz="0" w:space="0" w:color="auto"/>
                    <w:right w:val="none" w:sz="0" w:space="0" w:color="auto"/>
                  </w:divBdr>
                  <w:divsChild>
                    <w:div w:id="1488011187">
                      <w:marLeft w:val="0"/>
                      <w:marRight w:val="0"/>
                      <w:marTop w:val="376"/>
                      <w:marBottom w:val="0"/>
                      <w:divBdr>
                        <w:top w:val="single" w:sz="4" w:space="0" w:color="CCCCCC"/>
                        <w:left w:val="single" w:sz="4" w:space="0" w:color="CCCCCC"/>
                        <w:bottom w:val="single" w:sz="4" w:space="0" w:color="CCCCCC"/>
                        <w:right w:val="single" w:sz="4" w:space="0" w:color="CCCCCC"/>
                      </w:divBdr>
                      <w:divsChild>
                        <w:div w:id="1477797414">
                          <w:marLeft w:val="0"/>
                          <w:marRight w:val="0"/>
                          <w:marTop w:val="0"/>
                          <w:marBottom w:val="0"/>
                          <w:divBdr>
                            <w:top w:val="none" w:sz="0" w:space="0" w:color="auto"/>
                            <w:left w:val="none" w:sz="0" w:space="0" w:color="auto"/>
                            <w:bottom w:val="none" w:sz="0" w:space="0" w:color="auto"/>
                            <w:right w:val="none" w:sz="0" w:space="0" w:color="auto"/>
                          </w:divBdr>
                          <w:divsChild>
                            <w:div w:id="685643453">
                              <w:marLeft w:val="250"/>
                              <w:marRight w:val="250"/>
                              <w:marTop w:val="250"/>
                              <w:marBottom w:val="0"/>
                              <w:divBdr>
                                <w:top w:val="none" w:sz="0" w:space="0" w:color="auto"/>
                                <w:left w:val="none" w:sz="0" w:space="0" w:color="auto"/>
                                <w:bottom w:val="none" w:sz="0" w:space="0" w:color="auto"/>
                                <w:right w:val="none" w:sz="0" w:space="0" w:color="auto"/>
                              </w:divBdr>
                              <w:divsChild>
                                <w:div w:id="20069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2019-01-02T06:03:00Z</cp:lastPrinted>
  <dcterms:created xsi:type="dcterms:W3CDTF">2020-01-08T01:58:00Z</dcterms:created>
  <dcterms:modified xsi:type="dcterms:W3CDTF">2020-01-08T01:59:00Z</dcterms:modified>
</cp:coreProperties>
</file>